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</w:pPr>
      <w:r>
        <w:rPr/>
        <w:pict>
          <v:group style="position:absolute;margin-left:56.639999pt;margin-top:98.354538pt;width:496.2pt;height:679.95pt;mso-position-horizontal-relative:page;mso-position-vertical-relative:page;z-index:-11056" coordorigin="1133,1967" coordsize="9924,13599">
            <v:rect style="position:absolute;left:1132;top:1970;width:10;height:10" filled="true" fillcolor="#000000" stroked="false">
              <v:fill type="solid"/>
            </v:rect>
            <v:line style="position:absolute" from="1142,1973" to="11047,1973" stroked="true" strokeweight=".599019pt" strokecolor="#000000">
              <v:stroke dashstyle="solid"/>
            </v:line>
            <v:rect style="position:absolute;left:11046;top:1970;width:10;height:10" filled="true" fillcolor="#000000" stroked="false">
              <v:fill type="solid"/>
            </v:rect>
            <v:line style="position:absolute" from="1138,1981" to="1138,15566" stroked="true" strokeweight=".48pt" strokecolor="#000000">
              <v:stroke dashstyle="solid"/>
            </v:line>
            <v:line style="position:absolute" from="1142,15561" to="11047,15561" stroked="true" strokeweight=".48pt" strokecolor="#000000">
              <v:stroke dashstyle="solid"/>
            </v:line>
            <v:line style="position:absolute" from="11052,1981" to="11052,15566" stroked="true" strokeweight=".48pt" strokecolor="#000000">
              <v:stroke dashstyle="solid"/>
            </v:line>
            <w10:wrap type="none"/>
          </v:group>
        </w:pict>
      </w:r>
    </w:p>
    <w:p>
      <w:pPr>
        <w:pStyle w:val="BodyText"/>
        <w:rPr>
          <w:sz w:val="29"/>
        </w:rPr>
      </w:pPr>
    </w:p>
    <w:p>
      <w:pPr>
        <w:spacing w:line="411" w:lineRule="exact" w:before="85"/>
        <w:ind w:left="2522" w:right="0" w:firstLine="0"/>
        <w:jc w:val="left"/>
        <w:rPr>
          <w:b/>
          <w:sz w:val="36"/>
        </w:rPr>
      </w:pPr>
      <w:r>
        <w:rPr>
          <w:b/>
          <w:sz w:val="36"/>
        </w:rPr>
        <w:t>Avaliação de Risco Operacional</w:t>
      </w:r>
    </w:p>
    <w:p>
      <w:pPr>
        <w:spacing w:line="273" w:lineRule="exact" w:before="0"/>
        <w:ind w:left="449" w:right="0" w:firstLine="0"/>
        <w:jc w:val="left"/>
        <w:rPr>
          <w:sz w:val="24"/>
        </w:rPr>
      </w:pPr>
      <w:r>
        <w:rPr>
          <w:sz w:val="24"/>
        </w:rPr>
        <w:t>Em cumprimento ao parágrafo E94.103(f)(2) ou E94.103(g)(2) do RBAC-E nº 94 da ANAC</w:t>
      </w:r>
    </w:p>
    <w:p>
      <w:pPr>
        <w:spacing w:before="168"/>
        <w:ind w:left="103" w:right="8408" w:firstLine="0"/>
        <w:jc w:val="left"/>
        <w:rPr>
          <w:sz w:val="24"/>
        </w:rPr>
      </w:pPr>
      <w:r>
        <w:rPr>
          <w:sz w:val="24"/>
        </w:rPr>
        <w:t>Operador: CPF ou</w:t>
      </w:r>
      <w:r>
        <w:rPr>
          <w:spacing w:val="-3"/>
          <w:sz w:val="24"/>
        </w:rPr>
        <w:t> </w:t>
      </w:r>
      <w:r>
        <w:rPr>
          <w:sz w:val="24"/>
        </w:rPr>
        <w:t>CNPJ:</w:t>
      </w:r>
    </w:p>
    <w:p>
      <w:pPr>
        <w:spacing w:line="458" w:lineRule="auto" w:before="0"/>
        <w:ind w:left="103" w:right="5106" w:firstLine="0"/>
        <w:jc w:val="left"/>
        <w:rPr>
          <w:sz w:val="24"/>
        </w:rPr>
      </w:pPr>
      <w:r>
        <w:rPr>
          <w:sz w:val="24"/>
        </w:rPr>
        <w:t>Aeronave(s): </w:t>
      </w:r>
      <w:r>
        <w:rPr>
          <w:rFonts w:ascii="Minion Pro" w:hAnsi="Minion Pro"/>
          <w:sz w:val="24"/>
        </w:rPr>
        <w:t>colocar o </w:t>
      </w:r>
      <w:r>
        <w:rPr>
          <w:sz w:val="24"/>
        </w:rPr>
        <w:t>[</w:t>
      </w:r>
      <w:r>
        <w:rPr>
          <w:rFonts w:ascii="Minion Pro" w:hAnsi="Minion Pro"/>
          <w:sz w:val="24"/>
        </w:rPr>
        <w:t>REGISTRO no SISANT</w:t>
      </w:r>
      <w:r>
        <w:rPr>
          <w:sz w:val="24"/>
        </w:rPr>
        <w:t>] Cenário operacional:</w:t>
      </w:r>
    </w:p>
    <w:p>
      <w:pPr>
        <w:spacing w:before="30"/>
        <w:ind w:left="103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Aspectos gerais:</w:t>
      </w:r>
    </w:p>
    <w:p>
      <w:pPr>
        <w:pStyle w:val="BodyText"/>
        <w:spacing w:before="5"/>
        <w:rPr>
          <w:b/>
          <w:sz w:val="15"/>
        </w:rPr>
      </w:pPr>
    </w:p>
    <w:p>
      <w:pPr>
        <w:spacing w:line="261" w:lineRule="auto" w:before="90"/>
        <w:ind w:left="103" w:right="165" w:firstLine="0"/>
        <w:jc w:val="left"/>
        <w:rPr>
          <w:rFonts w:ascii="Minion Pro" w:hAnsi="Minion Pro"/>
          <w:sz w:val="12"/>
        </w:rPr>
      </w:pPr>
      <w:r>
        <w:rPr>
          <w:sz w:val="24"/>
        </w:rPr>
        <w:t>Legislação aplicável:</w:t>
      </w:r>
      <w:r>
        <w:rPr>
          <w:rFonts w:ascii="Minion Pro" w:hAnsi="Minion Pro"/>
          <w:sz w:val="12"/>
        </w:rPr>
        <w:t>CBA (Lei no 7.565/1986); RBAC-E no 94, da ANAC; IS no E94-001 - Rev A, da ANAC;IS no E94-002 - Rev A, da ANAC; IS no E94-003 – Rev A, da ANAC; IS no E94.503-001 – Rev A, da ANAC; Res 25/2008, da ANAC; ICA 100-40; ICA 100-12;ICA 100-37; Res Anatel no 242, Res no 506, de 1o de julho de 2008; Res Anatel no 635, de 9 de maio de 2014.</w:t>
      </w:r>
    </w:p>
    <w:p>
      <w:pPr>
        <w:spacing w:before="98"/>
        <w:ind w:left="107" w:right="0" w:firstLine="0"/>
        <w:jc w:val="left"/>
        <w:rPr>
          <w:sz w:val="24"/>
        </w:rPr>
      </w:pPr>
      <w:r>
        <w:rPr>
          <w:sz w:val="24"/>
        </w:rPr>
        <w:t>O operador é obrigado a se manter em áreas distantes de terceiros? </w:t>
      </w:r>
      <w:r>
        <w:rPr>
          <w:sz w:val="24"/>
          <w:shd w:fill="FFFF00" w:color="auto" w:val="clear"/>
        </w:rPr>
        <w:t>[Sim/Não]</w:t>
      </w:r>
    </w:p>
    <w:p>
      <w:pPr>
        <w:pStyle w:val="BodyText"/>
        <w:rPr>
          <w:sz w:val="24"/>
        </w:rPr>
      </w:pPr>
    </w:p>
    <w:p>
      <w:pPr>
        <w:spacing w:before="0"/>
        <w:ind w:left="107" w:right="765" w:firstLine="0"/>
        <w:jc w:val="left"/>
        <w:rPr>
          <w:sz w:val="24"/>
        </w:rPr>
      </w:pPr>
      <w:r>
        <w:rPr>
          <w:sz w:val="24"/>
        </w:rPr>
        <w:t>Os pilotos e observadores devem passar por algum treinamento inicial ou periódico específico provido pela empresa? Se sim, especificar:</w:t>
      </w:r>
    </w:p>
    <w:p>
      <w:pPr>
        <w:pStyle w:val="BodyText"/>
        <w:rPr>
          <w:sz w:val="24"/>
        </w:rPr>
      </w:pPr>
    </w:p>
    <w:p>
      <w:pPr>
        <w:spacing w:before="0"/>
        <w:ind w:left="107" w:right="0" w:firstLine="0"/>
        <w:jc w:val="left"/>
        <w:rPr>
          <w:sz w:val="24"/>
        </w:rPr>
      </w:pPr>
      <w:r>
        <w:rPr>
          <w:sz w:val="24"/>
        </w:rPr>
        <w:t>Em caso de acidente com lesões a pessoas, quem acionar? Como proceder?</w:t>
      </w:r>
    </w:p>
    <w:p>
      <w:pPr>
        <w:pStyle w:val="BodyText"/>
        <w:spacing w:before="2"/>
        <w:rPr>
          <w:sz w:val="24"/>
        </w:rPr>
      </w:pPr>
    </w:p>
    <w:p>
      <w:pPr>
        <w:spacing w:before="1"/>
        <w:ind w:left="103" w:right="0" w:firstLine="0"/>
        <w:jc w:val="left"/>
        <w:rPr>
          <w:sz w:val="24"/>
        </w:rPr>
      </w:pPr>
      <w:r>
        <w:rPr>
          <w:b/>
          <w:sz w:val="24"/>
          <w:u w:val="thick"/>
        </w:rPr>
        <w:t>Avaliação do risco</w:t>
      </w:r>
      <w:r>
        <w:rPr>
          <w:sz w:val="24"/>
        </w:rPr>
        <w:t>:</w:t>
      </w:r>
    </w:p>
    <w:p>
      <w:pPr>
        <w:pStyle w:val="BodyText"/>
        <w:spacing w:before="5"/>
        <w:rPr>
          <w:sz w:val="24"/>
        </w:rPr>
      </w:pPr>
    </w:p>
    <w:tbl>
      <w:tblPr>
        <w:tblW w:w="0" w:type="auto"/>
        <w:jc w:val="left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09"/>
        <w:gridCol w:w="4761"/>
      </w:tblGrid>
      <w:tr>
        <w:trPr>
          <w:trHeight w:val="326" w:hRule="atLeast"/>
        </w:trPr>
        <w:tc>
          <w:tcPr>
            <w:tcW w:w="4309" w:type="dxa"/>
            <w:shd w:val="clear" w:color="auto" w:fill="D9D9D9"/>
          </w:tcPr>
          <w:p>
            <w:pPr>
              <w:pStyle w:val="TableParagraph"/>
              <w:spacing w:before="29"/>
              <w:ind w:left="138" w:right="129"/>
              <w:rPr>
                <w:sz w:val="22"/>
              </w:rPr>
            </w:pPr>
            <w:r>
              <w:rPr>
                <w:sz w:val="22"/>
              </w:rPr>
              <w:t>Situação 1</w:t>
            </w:r>
          </w:p>
        </w:tc>
        <w:tc>
          <w:tcPr>
            <w:tcW w:w="4761" w:type="dxa"/>
            <w:shd w:val="clear" w:color="auto" w:fill="D9D9D9"/>
          </w:tcPr>
          <w:p>
            <w:pPr>
              <w:pStyle w:val="TableParagraph"/>
              <w:spacing w:before="29"/>
              <w:ind w:left="874" w:right="867"/>
              <w:rPr>
                <w:i/>
                <w:sz w:val="22"/>
              </w:rPr>
            </w:pPr>
            <w:r>
              <w:rPr>
                <w:sz w:val="22"/>
              </w:rPr>
              <w:t>Perda do </w:t>
            </w:r>
            <w:r>
              <w:rPr>
                <w:i/>
                <w:sz w:val="22"/>
              </w:rPr>
              <w:t>link</w:t>
            </w: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31"/>
              <w:rPr>
                <w:sz w:val="22"/>
              </w:rPr>
            </w:pPr>
            <w:r>
              <w:rPr>
                <w:sz w:val="22"/>
              </w:rPr>
              <w:t>Probabilidade de ocorrência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spacing w:before="10"/>
              <w:ind w:left="138" w:right="131"/>
              <w:rPr>
                <w:sz w:val="22"/>
              </w:rPr>
            </w:pPr>
            <w:r>
              <w:rPr>
                <w:sz w:val="22"/>
              </w:rPr>
              <w:t>Severidade da ocorrência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28"/>
              <w:rPr>
                <w:sz w:val="22"/>
              </w:rPr>
            </w:pPr>
            <w:r>
              <w:rPr>
                <w:sz w:val="22"/>
              </w:rPr>
              <w:t>Risco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spacing w:before="11"/>
              <w:ind w:left="138" w:right="129"/>
              <w:rPr>
                <w:sz w:val="22"/>
              </w:rPr>
            </w:pPr>
            <w:r>
              <w:rPr>
                <w:sz w:val="22"/>
              </w:rPr>
              <w:t>Tolerabilidade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32"/>
              <w:rPr>
                <w:sz w:val="22"/>
              </w:rPr>
            </w:pPr>
            <w:r>
              <w:rPr>
                <w:sz w:val="22"/>
              </w:rPr>
              <w:t>Nível hierárquico de autorização da operação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  <w:shd w:val="clear" w:color="auto" w:fill="FFFF00"/>
          </w:tcPr>
          <w:p>
            <w:pPr>
              <w:pStyle w:val="TableParagraph"/>
              <w:spacing w:line="250" w:lineRule="exact" w:before="15"/>
              <w:ind w:left="138" w:right="131"/>
              <w:rPr>
                <w:b/>
                <w:sz w:val="22"/>
              </w:rPr>
            </w:pPr>
            <w:r>
              <w:rPr>
                <w:b/>
                <w:sz w:val="22"/>
              </w:rPr>
              <w:t>Medidas de mitigação do risco</w:t>
            </w:r>
          </w:p>
        </w:tc>
        <w:tc>
          <w:tcPr>
            <w:tcW w:w="4761" w:type="dxa"/>
            <w:shd w:val="clear" w:color="auto" w:fill="FFFF00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  <w:shd w:val="clear" w:color="auto" w:fill="D9D9D9"/>
          </w:tcPr>
          <w:p>
            <w:pPr>
              <w:pStyle w:val="TableParagraph"/>
              <w:spacing w:before="8"/>
              <w:ind w:left="138" w:right="129"/>
              <w:rPr>
                <w:sz w:val="22"/>
              </w:rPr>
            </w:pPr>
            <w:r>
              <w:rPr>
                <w:sz w:val="22"/>
              </w:rPr>
              <w:t>Situação 2</w:t>
            </w:r>
          </w:p>
        </w:tc>
        <w:tc>
          <w:tcPr>
            <w:tcW w:w="4761" w:type="dxa"/>
            <w:shd w:val="clear" w:color="auto" w:fill="D9D9D9"/>
          </w:tcPr>
          <w:p>
            <w:pPr>
              <w:pStyle w:val="TableParagraph"/>
              <w:spacing w:before="8"/>
              <w:ind w:left="872" w:right="867"/>
              <w:rPr>
                <w:sz w:val="22"/>
              </w:rPr>
            </w:pPr>
            <w:r>
              <w:rPr>
                <w:sz w:val="22"/>
              </w:rPr>
              <w:t>Existência de tráfego aéreo local</w:t>
            </w: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spacing w:before="10"/>
              <w:ind w:left="138" w:right="131"/>
              <w:rPr>
                <w:sz w:val="22"/>
              </w:rPr>
            </w:pPr>
            <w:r>
              <w:rPr>
                <w:sz w:val="22"/>
              </w:rPr>
              <w:t>Probabilidade de ocorrência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31"/>
              <w:rPr>
                <w:sz w:val="22"/>
              </w:rPr>
            </w:pPr>
            <w:r>
              <w:rPr>
                <w:sz w:val="22"/>
              </w:rPr>
              <w:t>Severidade da ocorrência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spacing w:before="10"/>
              <w:ind w:left="138" w:right="128"/>
              <w:rPr>
                <w:sz w:val="22"/>
              </w:rPr>
            </w:pPr>
            <w:r>
              <w:rPr>
                <w:sz w:val="22"/>
              </w:rPr>
              <w:t>Risco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29"/>
              <w:rPr>
                <w:sz w:val="22"/>
              </w:rPr>
            </w:pPr>
            <w:r>
              <w:rPr>
                <w:sz w:val="22"/>
              </w:rPr>
              <w:t>Tolerabilidade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spacing w:before="10"/>
              <w:ind w:left="138" w:right="132"/>
              <w:rPr>
                <w:sz w:val="22"/>
              </w:rPr>
            </w:pPr>
            <w:r>
              <w:rPr>
                <w:sz w:val="22"/>
              </w:rPr>
              <w:t>Nível hierárquico de autorização da operação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  <w:shd w:val="clear" w:color="auto" w:fill="FFFF00"/>
          </w:tcPr>
          <w:p>
            <w:pPr>
              <w:pStyle w:val="TableParagraph"/>
              <w:spacing w:line="250" w:lineRule="exact" w:before="13"/>
              <w:ind w:left="138" w:right="131"/>
              <w:rPr>
                <w:b/>
                <w:sz w:val="22"/>
              </w:rPr>
            </w:pPr>
            <w:r>
              <w:rPr>
                <w:b/>
                <w:sz w:val="22"/>
              </w:rPr>
              <w:t>Medidas de mitigação do risco</w:t>
            </w:r>
          </w:p>
        </w:tc>
        <w:tc>
          <w:tcPr>
            <w:tcW w:w="4761" w:type="dxa"/>
            <w:shd w:val="clear" w:color="auto" w:fill="FFFF00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  <w:shd w:val="clear" w:color="auto" w:fill="D9D9D9"/>
          </w:tcPr>
          <w:p>
            <w:pPr>
              <w:pStyle w:val="TableParagraph"/>
              <w:spacing w:before="10"/>
              <w:ind w:left="138" w:right="129"/>
              <w:rPr>
                <w:sz w:val="22"/>
              </w:rPr>
            </w:pPr>
            <w:r>
              <w:rPr>
                <w:sz w:val="22"/>
              </w:rPr>
              <w:t>Situação 3</w:t>
            </w:r>
          </w:p>
        </w:tc>
        <w:tc>
          <w:tcPr>
            <w:tcW w:w="4761" w:type="dxa"/>
            <w:shd w:val="clear" w:color="auto" w:fill="D9D9D9"/>
          </w:tcPr>
          <w:p>
            <w:pPr>
              <w:pStyle w:val="TableParagraph"/>
              <w:spacing w:before="10"/>
              <w:ind w:left="875" w:right="867"/>
              <w:rPr>
                <w:sz w:val="22"/>
              </w:rPr>
            </w:pPr>
            <w:r>
              <w:rPr>
                <w:sz w:val="22"/>
              </w:rPr>
              <w:t>Presença de pessoas não anuentes</w:t>
            </w: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31"/>
              <w:rPr>
                <w:sz w:val="22"/>
              </w:rPr>
            </w:pPr>
            <w:r>
              <w:rPr>
                <w:sz w:val="22"/>
              </w:rPr>
              <w:t>Probabilidade de ocorrência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spacing w:before="10"/>
              <w:ind w:left="138" w:right="131"/>
              <w:rPr>
                <w:sz w:val="22"/>
              </w:rPr>
            </w:pPr>
            <w:r>
              <w:rPr>
                <w:sz w:val="22"/>
              </w:rPr>
              <w:t>Severidade da ocorrência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28"/>
              <w:rPr>
                <w:sz w:val="22"/>
              </w:rPr>
            </w:pPr>
            <w:r>
              <w:rPr>
                <w:sz w:val="22"/>
              </w:rPr>
              <w:t>Risco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spacing w:before="10"/>
              <w:ind w:left="138" w:right="129"/>
              <w:rPr>
                <w:sz w:val="22"/>
              </w:rPr>
            </w:pPr>
            <w:r>
              <w:rPr>
                <w:sz w:val="22"/>
              </w:rPr>
              <w:t>Tolerabilidade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</w:tcPr>
          <w:p>
            <w:pPr>
              <w:pStyle w:val="TableParagraph"/>
              <w:spacing w:before="8"/>
              <w:ind w:left="138" w:right="132"/>
              <w:rPr>
                <w:sz w:val="22"/>
              </w:rPr>
            </w:pPr>
            <w:r>
              <w:rPr>
                <w:sz w:val="22"/>
              </w:rPr>
              <w:t>Nível hierárquico de autorização da operação</w:t>
            </w: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  <w:shd w:val="clear" w:color="auto" w:fill="FFFF00"/>
          </w:tcPr>
          <w:p>
            <w:pPr>
              <w:pStyle w:val="TableParagraph"/>
              <w:spacing w:line="250" w:lineRule="exact" w:before="15"/>
              <w:ind w:left="138" w:right="131"/>
              <w:rPr>
                <w:b/>
                <w:sz w:val="22"/>
              </w:rPr>
            </w:pPr>
            <w:r>
              <w:rPr>
                <w:b/>
                <w:sz w:val="22"/>
              </w:rPr>
              <w:t>Medidas de mitigação do risco</w:t>
            </w:r>
          </w:p>
        </w:tc>
        <w:tc>
          <w:tcPr>
            <w:tcW w:w="4761" w:type="dxa"/>
            <w:shd w:val="clear" w:color="auto" w:fill="FFFF00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4309" w:type="dxa"/>
            <w:shd w:val="clear" w:color="auto" w:fill="D9D9D9"/>
          </w:tcPr>
          <w:p>
            <w:pPr>
              <w:pStyle w:val="TableParagraph"/>
              <w:spacing w:before="8"/>
              <w:ind w:left="138" w:right="131"/>
              <w:rPr>
                <w:sz w:val="22"/>
              </w:rPr>
            </w:pPr>
            <w:r>
              <w:rPr>
                <w:sz w:val="22"/>
              </w:rPr>
              <w:t>Situação 4</w:t>
            </w:r>
          </w:p>
        </w:tc>
        <w:tc>
          <w:tcPr>
            <w:tcW w:w="4761" w:type="dxa"/>
            <w:shd w:val="clear" w:color="auto" w:fill="D9D9D9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4309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4761" w:type="dxa"/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</w:tr>
    </w:tbl>
    <w:p>
      <w:pPr>
        <w:spacing w:after="0"/>
        <w:jc w:val="left"/>
        <w:rPr>
          <w:sz w:val="18"/>
        </w:rPr>
        <w:sectPr>
          <w:headerReference w:type="default" r:id="rId5"/>
          <w:footerReference w:type="default" r:id="rId6"/>
          <w:type w:val="continuous"/>
          <w:pgSz w:w="11910" w:h="16840"/>
          <w:pgMar w:header="983" w:footer="897" w:top="1420" w:bottom="1080" w:left="1140" w:right="840"/>
        </w:sectPr>
      </w:pPr>
    </w:p>
    <w:p>
      <w:pPr>
        <w:spacing w:before="80"/>
        <w:ind w:left="107" w:right="0" w:firstLine="0"/>
        <w:jc w:val="both"/>
        <w:rPr>
          <w:b/>
          <w:sz w:val="24"/>
        </w:rPr>
      </w:pPr>
      <w:r>
        <w:rPr/>
        <w:pict>
          <v:group style="position:absolute;margin-left:56.639999pt;margin-top:72.599983pt;width:496.2pt;height:695.9pt;mso-position-horizontal-relative:page;mso-position-vertical-relative:page;z-index:-11032" coordorigin="1133,1452" coordsize="9924,13918">
            <v:line style="position:absolute" from="1142,1457" to="11047,1457" stroked="true" strokeweight=".48pt" strokecolor="#000000">
              <v:stroke dashstyle="solid"/>
            </v:line>
            <v:line style="position:absolute" from="1138,1452" to="1138,15369" stroked="true" strokeweight=".48pt" strokecolor="#000000">
              <v:stroke dashstyle="solid"/>
            </v:line>
            <v:line style="position:absolute" from="1142,15364" to="11047,15364" stroked="true" strokeweight=".48pt" strokecolor="#000000">
              <v:stroke dashstyle="solid"/>
            </v:line>
            <v:line style="position:absolute" from="11052,1452" to="11052,15369" stroked="true" strokeweight=".48pt" strokecolor="#000000">
              <v:stroke dashstyle="solid"/>
            </v:line>
            <w10:wrap type="none"/>
          </v:group>
        </w:pict>
      </w:r>
      <w:r>
        <w:rPr>
          <w:b/>
          <w:sz w:val="24"/>
        </w:rPr>
        <w:t>Matriz de risco:</w:t>
      </w:r>
    </w:p>
    <w:p>
      <w:pPr>
        <w:pStyle w:val="Heading2"/>
        <w:spacing w:line="228" w:lineRule="exact" w:before="172"/>
      </w:pPr>
      <w:r>
        <w:rPr>
          <w:u w:val="single"/>
        </w:rPr>
        <w:t>Probabilidade da ocorrência: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28" w:lineRule="exact" w:before="0" w:after="0"/>
        <w:ind w:left="108" w:right="0" w:firstLine="0"/>
        <w:jc w:val="both"/>
        <w:rPr>
          <w:sz w:val="20"/>
        </w:rPr>
      </w:pPr>
      <w:r>
        <w:rPr>
          <w:sz w:val="20"/>
        </w:rPr>
        <w:t>Nível 5 (frequente): é provável que ocorra muitas vezes, ou historicamente tem ocorrido</w:t>
      </w:r>
      <w:r>
        <w:rPr>
          <w:spacing w:val="-14"/>
          <w:sz w:val="20"/>
        </w:rPr>
        <w:t> </w:t>
      </w:r>
      <w:r>
        <w:rPr>
          <w:sz w:val="20"/>
        </w:rPr>
        <w:t>frequentemente;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40" w:lineRule="auto" w:before="1" w:after="0"/>
        <w:ind w:left="108" w:right="0" w:firstLine="0"/>
        <w:jc w:val="both"/>
        <w:rPr>
          <w:sz w:val="20"/>
        </w:rPr>
      </w:pPr>
      <w:r>
        <w:rPr>
          <w:sz w:val="20"/>
        </w:rPr>
        <w:t>Nível 4 (ocasional): é provável que ocorra algumas vezes, ou historicamente tem ocorrido com pouca</w:t>
      </w:r>
      <w:r>
        <w:rPr>
          <w:spacing w:val="-24"/>
          <w:sz w:val="20"/>
        </w:rPr>
        <w:t> </w:t>
      </w:r>
      <w:r>
        <w:rPr>
          <w:sz w:val="20"/>
        </w:rPr>
        <w:t>frequência;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29" w:lineRule="exact" w:before="0" w:after="0"/>
        <w:ind w:left="108" w:right="0" w:firstLine="0"/>
        <w:jc w:val="both"/>
        <w:rPr>
          <w:sz w:val="20"/>
        </w:rPr>
      </w:pPr>
      <w:r>
        <w:rPr>
          <w:sz w:val="20"/>
        </w:rPr>
        <w:t>Nível 3 (remoto): é improvável, mas é possível que venha a ocorrer, ou ocorre</w:t>
      </w:r>
      <w:r>
        <w:rPr>
          <w:spacing w:val="-10"/>
          <w:sz w:val="20"/>
        </w:rPr>
        <w:t> </w:t>
      </w:r>
      <w:r>
        <w:rPr>
          <w:sz w:val="20"/>
        </w:rPr>
        <w:t>raramente;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29" w:lineRule="exact" w:before="0" w:after="0"/>
        <w:ind w:left="108" w:right="0" w:firstLine="0"/>
        <w:jc w:val="both"/>
        <w:rPr>
          <w:sz w:val="20"/>
        </w:rPr>
      </w:pPr>
      <w:r>
        <w:rPr>
          <w:sz w:val="20"/>
        </w:rPr>
        <w:t>Nível 2 (improvável): é bastante improvável que ocorra e não se tem notícia de que tenha alguma vez ocorrido;</w:t>
      </w:r>
      <w:r>
        <w:rPr>
          <w:spacing w:val="-28"/>
          <w:sz w:val="20"/>
        </w:rPr>
        <w:t> </w:t>
      </w:r>
      <w:r>
        <w:rPr>
          <w:sz w:val="20"/>
        </w:rPr>
        <w:t>e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40" w:lineRule="auto" w:before="1" w:after="0"/>
        <w:ind w:left="108" w:right="0" w:firstLine="0"/>
        <w:jc w:val="both"/>
        <w:rPr>
          <w:sz w:val="20"/>
        </w:rPr>
      </w:pPr>
      <w:r>
        <w:rPr>
          <w:sz w:val="20"/>
        </w:rPr>
        <w:t>Nível 1 (muito improvável): é quase impossível que o evento</w:t>
      </w:r>
      <w:r>
        <w:rPr>
          <w:spacing w:val="-2"/>
          <w:sz w:val="20"/>
        </w:rPr>
        <w:t> </w:t>
      </w:r>
      <w:r>
        <w:rPr>
          <w:sz w:val="20"/>
        </w:rPr>
        <w:t>ocorra.</w:t>
      </w:r>
    </w:p>
    <w:p>
      <w:pPr>
        <w:pStyle w:val="BodyText"/>
      </w:pPr>
    </w:p>
    <w:p>
      <w:pPr>
        <w:pStyle w:val="Heading2"/>
        <w:rPr>
          <w:b w:val="0"/>
        </w:rPr>
      </w:pPr>
      <w:r>
        <w:rPr>
          <w:u w:val="single"/>
        </w:rPr>
        <w:t>Severidade da ocorrência</w:t>
      </w:r>
      <w:r>
        <w:rPr>
          <w:b w:val="0"/>
        </w:rPr>
        <w:t>: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40" w:lineRule="auto" w:before="1" w:after="0"/>
        <w:ind w:left="108" w:right="0" w:firstLine="0"/>
        <w:jc w:val="both"/>
        <w:rPr>
          <w:sz w:val="20"/>
        </w:rPr>
      </w:pPr>
      <w:r>
        <w:rPr>
          <w:sz w:val="20"/>
        </w:rPr>
        <w:t>Nível A (catastrófico): morte de múltiplas</w:t>
      </w:r>
      <w:r>
        <w:rPr>
          <w:spacing w:val="5"/>
          <w:sz w:val="20"/>
        </w:rPr>
        <w:t> </w:t>
      </w:r>
      <w:r>
        <w:rPr>
          <w:sz w:val="20"/>
        </w:rPr>
        <w:t>pessoas;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40" w:lineRule="auto" w:before="0" w:after="0"/>
        <w:ind w:left="108" w:right="423" w:firstLine="0"/>
        <w:jc w:val="left"/>
        <w:rPr>
          <w:sz w:val="20"/>
        </w:rPr>
      </w:pPr>
      <w:r>
        <w:rPr>
          <w:sz w:val="20"/>
        </w:rPr>
        <w:t>Nível B (crítico): morte de pessoa, lesões gravíssimas, capazes de deixar sequelas significativas e/ou incapacitantes, tais como cegueira, paralisia, amputações, etc.;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28" w:lineRule="exact" w:before="0" w:after="0"/>
        <w:ind w:left="108" w:right="0" w:firstLine="0"/>
        <w:jc w:val="both"/>
        <w:rPr>
          <w:sz w:val="20"/>
        </w:rPr>
      </w:pPr>
      <w:r>
        <w:rPr>
          <w:sz w:val="20"/>
        </w:rPr>
        <w:t>Nível C (significativo): lesões sérias a pessoas, mas não incapacitantes nem com sequelas</w:t>
      </w:r>
      <w:r>
        <w:rPr>
          <w:spacing w:val="-14"/>
          <w:sz w:val="20"/>
        </w:rPr>
        <w:t> </w:t>
      </w:r>
      <w:r>
        <w:rPr>
          <w:sz w:val="20"/>
        </w:rPr>
        <w:t>significativas;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40" w:lineRule="auto" w:before="1" w:after="0"/>
        <w:ind w:left="108" w:right="0" w:firstLine="0"/>
        <w:jc w:val="both"/>
        <w:rPr>
          <w:sz w:val="20"/>
        </w:rPr>
      </w:pPr>
      <w:r>
        <w:rPr>
          <w:sz w:val="20"/>
        </w:rPr>
        <w:t>Nível D (pequeno): incidentes menores, danos a objetos, animais ou vegetação no solo, lesões</w:t>
      </w:r>
      <w:r>
        <w:rPr>
          <w:spacing w:val="-15"/>
          <w:sz w:val="20"/>
        </w:rPr>
        <w:t> </w:t>
      </w:r>
      <w:r>
        <w:rPr>
          <w:sz w:val="20"/>
        </w:rPr>
        <w:t>leves;</w:t>
      </w:r>
    </w:p>
    <w:p>
      <w:pPr>
        <w:pStyle w:val="ListParagraph"/>
        <w:numPr>
          <w:ilvl w:val="0"/>
          <w:numId w:val="1"/>
        </w:numPr>
        <w:tabs>
          <w:tab w:pos="224" w:val="left" w:leader="none"/>
        </w:tabs>
        <w:spacing w:line="240" w:lineRule="auto" w:before="0" w:after="0"/>
        <w:ind w:left="108" w:right="0" w:firstLine="0"/>
        <w:jc w:val="both"/>
        <w:rPr>
          <w:sz w:val="20"/>
        </w:rPr>
      </w:pPr>
      <w:r>
        <w:rPr>
          <w:sz w:val="20"/>
        </w:rPr>
        <w:t>Nível E (insignificante): somente danos ao</w:t>
      </w:r>
      <w:r>
        <w:rPr>
          <w:spacing w:val="-3"/>
          <w:sz w:val="20"/>
        </w:rPr>
        <w:t> </w:t>
      </w:r>
      <w:r>
        <w:rPr>
          <w:sz w:val="20"/>
        </w:rPr>
        <w:t>equipamento.</w:t>
      </w:r>
    </w:p>
    <w:p>
      <w:pPr>
        <w:pStyle w:val="BodyText"/>
        <w:spacing w:before="6"/>
      </w:pPr>
    </w:p>
    <w:p>
      <w:pPr>
        <w:pStyle w:val="Heading2"/>
      </w:pPr>
      <w:r>
        <w:rPr>
          <w:u w:val="single"/>
        </w:rPr>
        <w:t>Tolerabilidade:</w:t>
      </w:r>
    </w:p>
    <w:p>
      <w:pPr>
        <w:pStyle w:val="BodyText"/>
        <w:spacing w:before="1"/>
        <w:rPr>
          <w:b/>
        </w:rPr>
      </w:pPr>
    </w:p>
    <w:tbl>
      <w:tblPr>
        <w:tblW w:w="0" w:type="auto"/>
        <w:jc w:val="left"/>
        <w:tblInd w:w="6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7"/>
        <w:gridCol w:w="1954"/>
        <w:gridCol w:w="463"/>
        <w:gridCol w:w="1224"/>
        <w:gridCol w:w="924"/>
        <w:gridCol w:w="1250"/>
        <w:gridCol w:w="960"/>
        <w:gridCol w:w="1274"/>
      </w:tblGrid>
      <w:tr>
        <w:trPr>
          <w:trHeight w:val="263" w:hRule="atLeast"/>
        </w:trPr>
        <w:tc>
          <w:tcPr>
            <w:tcW w:w="2904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32" w:type="dxa"/>
            <w:gridSpan w:val="5"/>
            <w:shd w:val="clear" w:color="auto" w:fill="D9D9D9"/>
          </w:tcPr>
          <w:p>
            <w:pPr>
              <w:pStyle w:val="TableParagraph"/>
              <w:spacing w:line="224" w:lineRule="exact"/>
              <w:ind w:left="2357" w:right="2344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Severidade</w:t>
            </w:r>
          </w:p>
        </w:tc>
      </w:tr>
      <w:tr>
        <w:trPr>
          <w:trHeight w:val="265" w:hRule="atLeast"/>
        </w:trPr>
        <w:tc>
          <w:tcPr>
            <w:tcW w:w="2904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224" w:type="dxa"/>
            <w:shd w:val="clear" w:color="auto" w:fill="D9D9D9"/>
          </w:tcPr>
          <w:p>
            <w:pPr>
              <w:pStyle w:val="TableParagraph"/>
              <w:spacing w:line="227" w:lineRule="exact"/>
              <w:ind w:left="111" w:right="101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Catastrófico</w:t>
            </w:r>
          </w:p>
        </w:tc>
        <w:tc>
          <w:tcPr>
            <w:tcW w:w="924" w:type="dxa"/>
            <w:shd w:val="clear" w:color="auto" w:fill="D9D9D9"/>
          </w:tcPr>
          <w:p>
            <w:pPr>
              <w:pStyle w:val="TableParagraph"/>
              <w:spacing w:line="227" w:lineRule="exact"/>
              <w:ind w:left="177" w:right="171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Crítico</w:t>
            </w:r>
          </w:p>
        </w:tc>
        <w:tc>
          <w:tcPr>
            <w:tcW w:w="1250" w:type="dxa"/>
            <w:shd w:val="clear" w:color="auto" w:fill="D9D9D9"/>
          </w:tcPr>
          <w:p>
            <w:pPr>
              <w:pStyle w:val="TableParagraph"/>
              <w:spacing w:line="227" w:lineRule="exact"/>
              <w:ind w:left="116" w:right="102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Significativo</w:t>
            </w:r>
          </w:p>
        </w:tc>
        <w:tc>
          <w:tcPr>
            <w:tcW w:w="960" w:type="dxa"/>
            <w:shd w:val="clear" w:color="auto" w:fill="D9D9D9"/>
          </w:tcPr>
          <w:p>
            <w:pPr>
              <w:pStyle w:val="TableParagraph"/>
              <w:spacing w:line="227" w:lineRule="exact"/>
              <w:ind w:left="112" w:right="99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Pequeno</w:t>
            </w:r>
          </w:p>
        </w:tc>
        <w:tc>
          <w:tcPr>
            <w:tcW w:w="1274" w:type="dxa"/>
            <w:shd w:val="clear" w:color="auto" w:fill="D9D9D9"/>
          </w:tcPr>
          <w:p>
            <w:pPr>
              <w:pStyle w:val="TableParagraph"/>
              <w:spacing w:line="227" w:lineRule="exact"/>
              <w:ind w:left="87" w:right="73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Insignificante</w:t>
            </w:r>
          </w:p>
        </w:tc>
      </w:tr>
      <w:tr>
        <w:trPr>
          <w:trHeight w:val="263" w:hRule="atLeast"/>
        </w:trPr>
        <w:tc>
          <w:tcPr>
            <w:tcW w:w="487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</w:tcBorders>
          </w:tcPr>
          <w:p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224" w:type="dxa"/>
            <w:shd w:val="clear" w:color="auto" w:fill="D9D9D9"/>
          </w:tcPr>
          <w:p>
            <w:pPr>
              <w:pStyle w:val="TableParagraph"/>
              <w:spacing w:line="224" w:lineRule="exact"/>
              <w:ind w:left="13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A</w:t>
            </w:r>
          </w:p>
        </w:tc>
        <w:tc>
          <w:tcPr>
            <w:tcW w:w="924" w:type="dxa"/>
            <w:shd w:val="clear" w:color="auto" w:fill="D9D9D9"/>
          </w:tcPr>
          <w:p>
            <w:pPr>
              <w:pStyle w:val="TableParagraph"/>
              <w:spacing w:line="224" w:lineRule="exact"/>
              <w:ind w:left="11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B</w:t>
            </w:r>
          </w:p>
        </w:tc>
        <w:tc>
          <w:tcPr>
            <w:tcW w:w="1250" w:type="dxa"/>
            <w:shd w:val="clear" w:color="auto" w:fill="D9D9D9"/>
          </w:tcPr>
          <w:p>
            <w:pPr>
              <w:pStyle w:val="TableParagraph"/>
              <w:spacing w:line="224" w:lineRule="exact"/>
              <w:ind w:left="12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C</w:t>
            </w:r>
          </w:p>
        </w:tc>
        <w:tc>
          <w:tcPr>
            <w:tcW w:w="960" w:type="dxa"/>
            <w:shd w:val="clear" w:color="auto" w:fill="D9D9D9"/>
          </w:tcPr>
          <w:p>
            <w:pPr>
              <w:pStyle w:val="TableParagraph"/>
              <w:spacing w:line="224" w:lineRule="exact"/>
              <w:ind w:left="14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D</w:t>
            </w:r>
          </w:p>
        </w:tc>
        <w:tc>
          <w:tcPr>
            <w:tcW w:w="1274" w:type="dxa"/>
            <w:shd w:val="clear" w:color="auto" w:fill="D9D9D9"/>
          </w:tcPr>
          <w:p>
            <w:pPr>
              <w:pStyle w:val="TableParagraph"/>
              <w:spacing w:line="224" w:lineRule="exact"/>
              <w:ind w:left="9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E</w:t>
            </w:r>
          </w:p>
        </w:tc>
      </w:tr>
      <w:tr>
        <w:trPr>
          <w:trHeight w:val="263" w:hRule="atLeast"/>
        </w:trPr>
        <w:tc>
          <w:tcPr>
            <w:tcW w:w="487" w:type="dxa"/>
            <w:vMerge w:val="restart"/>
            <w:shd w:val="clear" w:color="auto" w:fill="D9D9D9"/>
            <w:textDirection w:val="btLr"/>
          </w:tcPr>
          <w:p>
            <w:pPr>
              <w:pStyle w:val="TableParagraph"/>
              <w:spacing w:before="108"/>
              <w:ind w:left="146"/>
              <w:jc w:val="left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Probabilidade</w:t>
            </w:r>
          </w:p>
        </w:tc>
        <w:tc>
          <w:tcPr>
            <w:tcW w:w="1954" w:type="dxa"/>
            <w:shd w:val="clear" w:color="auto" w:fill="D9D9D9"/>
          </w:tcPr>
          <w:p>
            <w:pPr>
              <w:pStyle w:val="TableParagraph"/>
              <w:spacing w:line="224" w:lineRule="exact"/>
              <w:ind w:left="280" w:right="270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Frequente</w:t>
            </w:r>
          </w:p>
        </w:tc>
        <w:tc>
          <w:tcPr>
            <w:tcW w:w="463" w:type="dxa"/>
            <w:shd w:val="clear" w:color="auto" w:fill="D9D9D9"/>
          </w:tcPr>
          <w:p>
            <w:pPr>
              <w:pStyle w:val="TableParagraph"/>
              <w:spacing w:line="224" w:lineRule="exact"/>
              <w:ind w:right="170"/>
              <w:jc w:val="right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5</w:t>
            </w:r>
          </w:p>
        </w:tc>
        <w:tc>
          <w:tcPr>
            <w:tcW w:w="1224" w:type="dxa"/>
          </w:tcPr>
          <w:p>
            <w:pPr>
              <w:pStyle w:val="TableParagraph"/>
              <w:spacing w:line="224" w:lineRule="exact"/>
              <w:ind w:left="111" w:right="98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0000"/>
                <w:sz w:val="20"/>
              </w:rPr>
              <w:t>5A</w:t>
            </w:r>
          </w:p>
        </w:tc>
        <w:tc>
          <w:tcPr>
            <w:tcW w:w="924" w:type="dxa"/>
          </w:tcPr>
          <w:p>
            <w:pPr>
              <w:pStyle w:val="TableParagraph"/>
              <w:spacing w:line="224" w:lineRule="exact"/>
              <w:ind w:left="177" w:right="166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0000"/>
                <w:sz w:val="20"/>
              </w:rPr>
              <w:t>5B</w:t>
            </w:r>
          </w:p>
        </w:tc>
        <w:tc>
          <w:tcPr>
            <w:tcW w:w="1250" w:type="dxa"/>
          </w:tcPr>
          <w:p>
            <w:pPr>
              <w:pStyle w:val="TableParagraph"/>
              <w:spacing w:line="224" w:lineRule="exact"/>
              <w:ind w:left="114" w:right="102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833B0A"/>
                <w:sz w:val="20"/>
              </w:rPr>
              <w:t>5C</w:t>
            </w:r>
          </w:p>
        </w:tc>
        <w:tc>
          <w:tcPr>
            <w:tcW w:w="960" w:type="dxa"/>
          </w:tcPr>
          <w:p>
            <w:pPr>
              <w:pStyle w:val="TableParagraph"/>
              <w:spacing w:line="224" w:lineRule="exact"/>
              <w:ind w:left="112" w:right="97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5D</w:t>
            </w:r>
          </w:p>
        </w:tc>
        <w:tc>
          <w:tcPr>
            <w:tcW w:w="1274" w:type="dxa"/>
          </w:tcPr>
          <w:p>
            <w:pPr>
              <w:pStyle w:val="TableParagraph"/>
              <w:spacing w:line="224" w:lineRule="exact"/>
              <w:ind w:left="83" w:right="73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5E</w:t>
            </w:r>
          </w:p>
        </w:tc>
      </w:tr>
      <w:tr>
        <w:trPr>
          <w:trHeight w:val="263" w:hRule="atLeast"/>
        </w:trPr>
        <w:tc>
          <w:tcPr>
            <w:tcW w:w="487" w:type="dxa"/>
            <w:vMerge/>
            <w:tcBorders>
              <w:top w:val="nil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shd w:val="clear" w:color="auto" w:fill="D9D9D9"/>
          </w:tcPr>
          <w:p>
            <w:pPr>
              <w:pStyle w:val="TableParagraph"/>
              <w:spacing w:line="224" w:lineRule="exact"/>
              <w:ind w:left="280" w:right="270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Ocasional</w:t>
            </w:r>
          </w:p>
        </w:tc>
        <w:tc>
          <w:tcPr>
            <w:tcW w:w="463" w:type="dxa"/>
            <w:shd w:val="clear" w:color="auto" w:fill="D9D9D9"/>
          </w:tcPr>
          <w:p>
            <w:pPr>
              <w:pStyle w:val="TableParagraph"/>
              <w:spacing w:line="224" w:lineRule="exact"/>
              <w:ind w:right="170"/>
              <w:jc w:val="right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4</w:t>
            </w:r>
          </w:p>
        </w:tc>
        <w:tc>
          <w:tcPr>
            <w:tcW w:w="1224" w:type="dxa"/>
          </w:tcPr>
          <w:p>
            <w:pPr>
              <w:pStyle w:val="TableParagraph"/>
              <w:spacing w:line="224" w:lineRule="exact"/>
              <w:ind w:left="111" w:right="98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0000"/>
                <w:sz w:val="20"/>
              </w:rPr>
              <w:t>4A</w:t>
            </w:r>
          </w:p>
        </w:tc>
        <w:tc>
          <w:tcPr>
            <w:tcW w:w="924" w:type="dxa"/>
          </w:tcPr>
          <w:p>
            <w:pPr>
              <w:pStyle w:val="TableParagraph"/>
              <w:spacing w:line="224" w:lineRule="exact"/>
              <w:ind w:left="177" w:right="166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833B0A"/>
                <w:sz w:val="20"/>
              </w:rPr>
              <w:t>4B</w:t>
            </w:r>
          </w:p>
        </w:tc>
        <w:tc>
          <w:tcPr>
            <w:tcW w:w="1250" w:type="dxa"/>
          </w:tcPr>
          <w:p>
            <w:pPr>
              <w:pStyle w:val="TableParagraph"/>
              <w:spacing w:line="224" w:lineRule="exact"/>
              <w:ind w:left="114" w:right="102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4C</w:t>
            </w:r>
          </w:p>
        </w:tc>
        <w:tc>
          <w:tcPr>
            <w:tcW w:w="960" w:type="dxa"/>
          </w:tcPr>
          <w:p>
            <w:pPr>
              <w:pStyle w:val="TableParagraph"/>
              <w:spacing w:line="224" w:lineRule="exact"/>
              <w:ind w:left="112" w:right="97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4D</w:t>
            </w:r>
          </w:p>
        </w:tc>
        <w:tc>
          <w:tcPr>
            <w:tcW w:w="1274" w:type="dxa"/>
          </w:tcPr>
          <w:p>
            <w:pPr>
              <w:pStyle w:val="TableParagraph"/>
              <w:spacing w:line="224" w:lineRule="exact"/>
              <w:ind w:left="83" w:right="73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9900"/>
                <w:sz w:val="20"/>
              </w:rPr>
              <w:t>4E</w:t>
            </w:r>
          </w:p>
        </w:tc>
      </w:tr>
      <w:tr>
        <w:trPr>
          <w:trHeight w:val="265" w:hRule="atLeast"/>
        </w:trPr>
        <w:tc>
          <w:tcPr>
            <w:tcW w:w="487" w:type="dxa"/>
            <w:vMerge/>
            <w:tcBorders>
              <w:top w:val="nil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shd w:val="clear" w:color="auto" w:fill="D9D9D9"/>
          </w:tcPr>
          <w:p>
            <w:pPr>
              <w:pStyle w:val="TableParagraph"/>
              <w:spacing w:line="227" w:lineRule="exact"/>
              <w:ind w:left="280" w:right="270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sz w:val="20"/>
              </w:rPr>
              <w:t>Remoto</w:t>
            </w:r>
          </w:p>
        </w:tc>
        <w:tc>
          <w:tcPr>
            <w:tcW w:w="463" w:type="dxa"/>
            <w:shd w:val="clear" w:color="auto" w:fill="D9D9D9"/>
          </w:tcPr>
          <w:p>
            <w:pPr>
              <w:pStyle w:val="TableParagraph"/>
              <w:spacing w:line="227" w:lineRule="exact"/>
              <w:ind w:right="170"/>
              <w:jc w:val="right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3</w:t>
            </w:r>
          </w:p>
        </w:tc>
        <w:tc>
          <w:tcPr>
            <w:tcW w:w="1224" w:type="dxa"/>
          </w:tcPr>
          <w:p>
            <w:pPr>
              <w:pStyle w:val="TableParagraph"/>
              <w:spacing w:line="227" w:lineRule="exact"/>
              <w:ind w:left="111" w:right="98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833B0A"/>
                <w:sz w:val="20"/>
              </w:rPr>
              <w:t>3A</w:t>
            </w:r>
          </w:p>
        </w:tc>
        <w:tc>
          <w:tcPr>
            <w:tcW w:w="924" w:type="dxa"/>
          </w:tcPr>
          <w:p>
            <w:pPr>
              <w:pStyle w:val="TableParagraph"/>
              <w:spacing w:line="227" w:lineRule="exact"/>
              <w:ind w:left="177" w:right="166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3B</w:t>
            </w:r>
          </w:p>
        </w:tc>
        <w:tc>
          <w:tcPr>
            <w:tcW w:w="1250" w:type="dxa"/>
          </w:tcPr>
          <w:p>
            <w:pPr>
              <w:pStyle w:val="TableParagraph"/>
              <w:spacing w:line="227" w:lineRule="exact"/>
              <w:ind w:left="114" w:right="102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3C</w:t>
            </w:r>
          </w:p>
        </w:tc>
        <w:tc>
          <w:tcPr>
            <w:tcW w:w="960" w:type="dxa"/>
          </w:tcPr>
          <w:p>
            <w:pPr>
              <w:pStyle w:val="TableParagraph"/>
              <w:spacing w:line="227" w:lineRule="exact"/>
              <w:ind w:left="112" w:right="97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9900"/>
                <w:sz w:val="20"/>
              </w:rPr>
              <w:t>3D</w:t>
            </w:r>
          </w:p>
        </w:tc>
        <w:tc>
          <w:tcPr>
            <w:tcW w:w="1274" w:type="dxa"/>
          </w:tcPr>
          <w:p>
            <w:pPr>
              <w:pStyle w:val="TableParagraph"/>
              <w:spacing w:line="227" w:lineRule="exact"/>
              <w:ind w:left="83" w:right="73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9900"/>
                <w:sz w:val="20"/>
              </w:rPr>
              <w:t>3E</w:t>
            </w:r>
          </w:p>
        </w:tc>
      </w:tr>
      <w:tr>
        <w:trPr>
          <w:trHeight w:val="263" w:hRule="atLeast"/>
        </w:trPr>
        <w:tc>
          <w:tcPr>
            <w:tcW w:w="487" w:type="dxa"/>
            <w:vMerge/>
            <w:tcBorders>
              <w:top w:val="nil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shd w:val="clear" w:color="auto" w:fill="D9D9D9"/>
          </w:tcPr>
          <w:p>
            <w:pPr>
              <w:pStyle w:val="TableParagraph"/>
              <w:spacing w:line="224" w:lineRule="exact"/>
              <w:ind w:left="280" w:right="27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Improvável</w:t>
            </w:r>
          </w:p>
        </w:tc>
        <w:tc>
          <w:tcPr>
            <w:tcW w:w="463" w:type="dxa"/>
            <w:shd w:val="clear" w:color="auto" w:fill="D9D9D9"/>
          </w:tcPr>
          <w:p>
            <w:pPr>
              <w:pStyle w:val="TableParagraph"/>
              <w:spacing w:line="224" w:lineRule="exact"/>
              <w:ind w:right="170"/>
              <w:jc w:val="right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2</w:t>
            </w:r>
          </w:p>
        </w:tc>
        <w:tc>
          <w:tcPr>
            <w:tcW w:w="1224" w:type="dxa"/>
          </w:tcPr>
          <w:p>
            <w:pPr>
              <w:pStyle w:val="TableParagraph"/>
              <w:spacing w:line="224" w:lineRule="exact"/>
              <w:ind w:left="111" w:right="98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2A</w:t>
            </w:r>
          </w:p>
        </w:tc>
        <w:tc>
          <w:tcPr>
            <w:tcW w:w="924" w:type="dxa"/>
          </w:tcPr>
          <w:p>
            <w:pPr>
              <w:pStyle w:val="TableParagraph"/>
              <w:spacing w:line="224" w:lineRule="exact"/>
              <w:ind w:left="177" w:right="166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2B</w:t>
            </w:r>
          </w:p>
        </w:tc>
        <w:tc>
          <w:tcPr>
            <w:tcW w:w="1250" w:type="dxa"/>
          </w:tcPr>
          <w:p>
            <w:pPr>
              <w:pStyle w:val="TableParagraph"/>
              <w:spacing w:line="224" w:lineRule="exact"/>
              <w:ind w:left="114" w:right="102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9900"/>
                <w:sz w:val="20"/>
              </w:rPr>
              <w:t>2C</w:t>
            </w:r>
          </w:p>
        </w:tc>
        <w:tc>
          <w:tcPr>
            <w:tcW w:w="960" w:type="dxa"/>
          </w:tcPr>
          <w:p>
            <w:pPr>
              <w:pStyle w:val="TableParagraph"/>
              <w:spacing w:line="224" w:lineRule="exact"/>
              <w:ind w:left="112" w:right="97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9900"/>
                <w:sz w:val="20"/>
              </w:rPr>
              <w:t>2D</w:t>
            </w:r>
          </w:p>
        </w:tc>
        <w:tc>
          <w:tcPr>
            <w:tcW w:w="1274" w:type="dxa"/>
          </w:tcPr>
          <w:p>
            <w:pPr>
              <w:pStyle w:val="TableParagraph"/>
              <w:spacing w:line="224" w:lineRule="exact"/>
              <w:ind w:left="83" w:right="73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00AF50"/>
                <w:sz w:val="20"/>
              </w:rPr>
              <w:t>2E</w:t>
            </w:r>
          </w:p>
        </w:tc>
      </w:tr>
      <w:tr>
        <w:trPr>
          <w:trHeight w:val="263" w:hRule="atLeast"/>
        </w:trPr>
        <w:tc>
          <w:tcPr>
            <w:tcW w:w="487" w:type="dxa"/>
            <w:vMerge/>
            <w:tcBorders>
              <w:top w:val="nil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shd w:val="clear" w:color="auto" w:fill="D9D9D9"/>
          </w:tcPr>
          <w:p>
            <w:pPr>
              <w:pStyle w:val="TableParagraph"/>
              <w:spacing w:line="224" w:lineRule="exact"/>
              <w:ind w:left="280" w:right="27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Muito improvável</w:t>
            </w:r>
          </w:p>
        </w:tc>
        <w:tc>
          <w:tcPr>
            <w:tcW w:w="463" w:type="dxa"/>
            <w:shd w:val="clear" w:color="auto" w:fill="D9D9D9"/>
          </w:tcPr>
          <w:p>
            <w:pPr>
              <w:pStyle w:val="TableParagraph"/>
              <w:spacing w:line="224" w:lineRule="exact"/>
              <w:ind w:right="170"/>
              <w:jc w:val="right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w w:val="99"/>
                <w:sz w:val="20"/>
              </w:rPr>
              <w:t>1</w:t>
            </w:r>
          </w:p>
        </w:tc>
        <w:tc>
          <w:tcPr>
            <w:tcW w:w="1224" w:type="dxa"/>
          </w:tcPr>
          <w:p>
            <w:pPr>
              <w:pStyle w:val="TableParagraph"/>
              <w:spacing w:line="224" w:lineRule="exact"/>
              <w:ind w:left="111" w:right="98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2E5395"/>
                <w:sz w:val="20"/>
              </w:rPr>
              <w:t>1A</w:t>
            </w:r>
          </w:p>
        </w:tc>
        <w:tc>
          <w:tcPr>
            <w:tcW w:w="924" w:type="dxa"/>
          </w:tcPr>
          <w:p>
            <w:pPr>
              <w:pStyle w:val="TableParagraph"/>
              <w:spacing w:line="224" w:lineRule="exact"/>
              <w:ind w:left="177" w:right="166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9900"/>
                <w:sz w:val="20"/>
              </w:rPr>
              <w:t>1B</w:t>
            </w:r>
          </w:p>
        </w:tc>
        <w:tc>
          <w:tcPr>
            <w:tcW w:w="1250" w:type="dxa"/>
          </w:tcPr>
          <w:p>
            <w:pPr>
              <w:pStyle w:val="TableParagraph"/>
              <w:spacing w:line="224" w:lineRule="exact"/>
              <w:ind w:left="114" w:right="102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FF9900"/>
                <w:sz w:val="20"/>
              </w:rPr>
              <w:t>1C</w:t>
            </w:r>
          </w:p>
        </w:tc>
        <w:tc>
          <w:tcPr>
            <w:tcW w:w="960" w:type="dxa"/>
          </w:tcPr>
          <w:p>
            <w:pPr>
              <w:pStyle w:val="TableParagraph"/>
              <w:spacing w:line="224" w:lineRule="exact"/>
              <w:ind w:left="112" w:right="97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00AF50"/>
                <w:sz w:val="20"/>
              </w:rPr>
              <w:t>1D</w:t>
            </w:r>
          </w:p>
        </w:tc>
        <w:tc>
          <w:tcPr>
            <w:tcW w:w="1274" w:type="dxa"/>
          </w:tcPr>
          <w:p>
            <w:pPr>
              <w:pStyle w:val="TableParagraph"/>
              <w:spacing w:line="224" w:lineRule="exact"/>
              <w:ind w:left="83" w:right="73"/>
              <w:rPr>
                <w:rFonts w:ascii="Arial Narrow"/>
                <w:b/>
                <w:sz w:val="20"/>
              </w:rPr>
            </w:pPr>
            <w:r>
              <w:rPr>
                <w:rFonts w:ascii="Arial Narrow"/>
                <w:b/>
                <w:color w:val="00AF50"/>
                <w:sz w:val="20"/>
              </w:rPr>
              <w:t>1E</w:t>
            </w:r>
          </w:p>
        </w:tc>
      </w:tr>
    </w:tbl>
    <w:p>
      <w:pPr>
        <w:pStyle w:val="BodyText"/>
        <w:spacing w:before="4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291" w:val="left" w:leader="none"/>
        </w:tabs>
        <w:spacing w:line="240" w:lineRule="auto" w:before="1" w:after="0"/>
        <w:ind w:left="139" w:right="125" w:firstLine="0"/>
        <w:jc w:val="both"/>
        <w:rPr>
          <w:sz w:val="20"/>
        </w:rPr>
      </w:pPr>
      <w:r>
        <w:rPr>
          <w:b/>
          <w:color w:val="FF0000"/>
          <w:sz w:val="20"/>
        </w:rPr>
        <w:t>Risco extremo </w:t>
      </w:r>
      <w:r>
        <w:rPr>
          <w:sz w:val="20"/>
        </w:rPr>
        <w:t>(classificações 4A, 5A e 5B): a operação não deve ocorrer e, caso esteja ocorrendo, deve cessar imediatamente, enquanto persistir a condição ou até que medidas mitigadoras suficientes reduzam o risco para um nível aceitável pelo operador. Caso ainda se decida prosseguir com a operação, controles preventivos para mitigação do risco devem ser estabelecidos, devem estar em vigor e a aprovação da hierarquia mais alta da empresa (presidente) deve ser requerida.</w:t>
      </w:r>
    </w:p>
    <w:p>
      <w:pPr>
        <w:pStyle w:val="ListParagraph"/>
        <w:numPr>
          <w:ilvl w:val="0"/>
          <w:numId w:val="1"/>
        </w:numPr>
        <w:tabs>
          <w:tab w:pos="291" w:val="left" w:leader="none"/>
        </w:tabs>
        <w:spacing w:line="240" w:lineRule="auto" w:before="0" w:after="0"/>
        <w:ind w:left="139" w:right="122" w:firstLine="0"/>
        <w:jc w:val="both"/>
        <w:rPr>
          <w:sz w:val="20"/>
        </w:rPr>
      </w:pPr>
      <w:r>
        <w:rPr>
          <w:b/>
          <w:color w:val="833B0A"/>
          <w:sz w:val="20"/>
        </w:rPr>
        <w:t>Alto risco </w:t>
      </w:r>
      <w:r>
        <w:rPr>
          <w:sz w:val="20"/>
        </w:rPr>
        <w:t>(classificações 3A, 4B e 5C): a operação não deveria ocorrer e, caso esteja ocorrendo, deveria cessar imediatamente, enquanto persistir a condição ou até que medidas mitigadoras suficientes reduzam o risco para um nível aceitável pelo operador. Caso ainda se decida prosseguir com a operação, controles preventivos para mitigação do risco devem</w:t>
      </w:r>
      <w:r>
        <w:rPr>
          <w:spacing w:val="-12"/>
          <w:sz w:val="20"/>
        </w:rPr>
        <w:t> </w:t>
      </w:r>
      <w:r>
        <w:rPr>
          <w:sz w:val="20"/>
        </w:rPr>
        <w:t>ser</w:t>
      </w:r>
      <w:r>
        <w:rPr>
          <w:spacing w:val="-9"/>
          <w:sz w:val="20"/>
        </w:rPr>
        <w:t> </w:t>
      </w:r>
      <w:r>
        <w:rPr>
          <w:sz w:val="20"/>
        </w:rPr>
        <w:t>estabelecidos,</w:t>
      </w:r>
      <w:r>
        <w:rPr>
          <w:spacing w:val="-10"/>
          <w:sz w:val="20"/>
        </w:rPr>
        <w:t> </w:t>
      </w:r>
      <w:r>
        <w:rPr>
          <w:sz w:val="20"/>
        </w:rPr>
        <w:t>devem</w:t>
      </w:r>
      <w:r>
        <w:rPr>
          <w:spacing w:val="-12"/>
          <w:sz w:val="20"/>
        </w:rPr>
        <w:t> </w:t>
      </w:r>
      <w:r>
        <w:rPr>
          <w:sz w:val="20"/>
        </w:rPr>
        <w:t>estar</w:t>
      </w:r>
      <w:r>
        <w:rPr>
          <w:spacing w:val="-10"/>
          <w:sz w:val="20"/>
        </w:rPr>
        <w:t> </w:t>
      </w:r>
      <w:r>
        <w:rPr>
          <w:sz w:val="20"/>
        </w:rPr>
        <w:t>em</w:t>
      </w:r>
      <w:r>
        <w:rPr>
          <w:spacing w:val="-12"/>
          <w:sz w:val="20"/>
        </w:rPr>
        <w:t> </w:t>
      </w:r>
      <w:r>
        <w:rPr>
          <w:sz w:val="20"/>
        </w:rPr>
        <w:t>vigor</w:t>
      </w:r>
      <w:r>
        <w:rPr>
          <w:spacing w:val="-10"/>
          <w:sz w:val="20"/>
        </w:rPr>
        <w:t> </w:t>
      </w:r>
      <w:r>
        <w:rPr>
          <w:sz w:val="20"/>
        </w:rPr>
        <w:t>e</w:t>
      </w:r>
      <w:r>
        <w:rPr>
          <w:spacing w:val="-10"/>
          <w:sz w:val="20"/>
        </w:rPr>
        <w:t> </w:t>
      </w:r>
      <w:r>
        <w:rPr>
          <w:sz w:val="20"/>
        </w:rPr>
        <w:t>a</w:t>
      </w:r>
      <w:r>
        <w:rPr>
          <w:spacing w:val="-10"/>
          <w:sz w:val="20"/>
        </w:rPr>
        <w:t> </w:t>
      </w:r>
      <w:r>
        <w:rPr>
          <w:sz w:val="20"/>
        </w:rPr>
        <w:t>aprovação</w:t>
      </w:r>
      <w:r>
        <w:rPr>
          <w:spacing w:val="-9"/>
          <w:sz w:val="20"/>
        </w:rPr>
        <w:t> </w:t>
      </w:r>
      <w:r>
        <w:rPr>
          <w:sz w:val="20"/>
        </w:rPr>
        <w:t>da</w:t>
      </w:r>
      <w:r>
        <w:rPr>
          <w:spacing w:val="-10"/>
          <w:sz w:val="20"/>
        </w:rPr>
        <w:t> </w:t>
      </w:r>
      <w:r>
        <w:rPr>
          <w:sz w:val="20"/>
        </w:rPr>
        <w:t>hierarquia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gestão</w:t>
      </w:r>
      <w:r>
        <w:rPr>
          <w:spacing w:val="-9"/>
          <w:sz w:val="20"/>
        </w:rPr>
        <w:t> </w:t>
      </w:r>
      <w:r>
        <w:rPr>
          <w:sz w:val="20"/>
        </w:rPr>
        <w:t>da</w:t>
      </w:r>
      <w:r>
        <w:rPr>
          <w:spacing w:val="-10"/>
          <w:sz w:val="20"/>
        </w:rPr>
        <w:t> </w:t>
      </w:r>
      <w:r>
        <w:rPr>
          <w:sz w:val="20"/>
        </w:rPr>
        <w:t>empresa</w:t>
      </w:r>
      <w:r>
        <w:rPr>
          <w:spacing w:val="-10"/>
          <w:sz w:val="20"/>
        </w:rPr>
        <w:t> </w:t>
      </w:r>
      <w:r>
        <w:rPr>
          <w:sz w:val="20"/>
        </w:rPr>
        <w:t>(gerente</w:t>
      </w:r>
      <w:r>
        <w:rPr>
          <w:spacing w:val="-10"/>
          <w:sz w:val="20"/>
        </w:rPr>
        <w:t> </w:t>
      </w:r>
      <w:r>
        <w:rPr>
          <w:sz w:val="20"/>
        </w:rPr>
        <w:t>ou</w:t>
      </w:r>
      <w:r>
        <w:rPr>
          <w:spacing w:val="-11"/>
          <w:sz w:val="20"/>
        </w:rPr>
        <w:t> </w:t>
      </w:r>
      <w:r>
        <w:rPr>
          <w:sz w:val="20"/>
        </w:rPr>
        <w:t>diretor)</w:t>
      </w:r>
      <w:r>
        <w:rPr>
          <w:spacing w:val="-10"/>
          <w:sz w:val="20"/>
        </w:rPr>
        <w:t> </w:t>
      </w:r>
      <w:r>
        <w:rPr>
          <w:sz w:val="20"/>
        </w:rPr>
        <w:t>deve ser requerida.</w:t>
      </w:r>
    </w:p>
    <w:p>
      <w:pPr>
        <w:pStyle w:val="ListParagraph"/>
        <w:numPr>
          <w:ilvl w:val="0"/>
          <w:numId w:val="1"/>
        </w:numPr>
        <w:tabs>
          <w:tab w:pos="294" w:val="left" w:leader="none"/>
        </w:tabs>
        <w:spacing w:line="240" w:lineRule="auto" w:before="0" w:after="0"/>
        <w:ind w:left="139" w:right="124" w:firstLine="0"/>
        <w:jc w:val="both"/>
        <w:rPr>
          <w:sz w:val="20"/>
        </w:rPr>
      </w:pPr>
      <w:r>
        <w:rPr>
          <w:b/>
          <w:color w:val="2E5395"/>
          <w:sz w:val="20"/>
        </w:rPr>
        <w:t>Risco moderado </w:t>
      </w:r>
      <w:r>
        <w:rPr>
          <w:sz w:val="20"/>
        </w:rPr>
        <w:t>(classificações 1A, 2A, 2B, 3B, 3C, 4C, 4D, 5D, 5E): a operação pode ocorrer com controles preventivos para mitigação do risco estabelecidos e que devem estar em vigor, conforme necessários. Operações neste nível de risco deveriam ser aprovadas por nível hierárquico imediatamente superior (chefia</w:t>
      </w:r>
      <w:r>
        <w:rPr>
          <w:spacing w:val="-11"/>
          <w:sz w:val="20"/>
        </w:rPr>
        <w:t> </w:t>
      </w:r>
      <w:r>
        <w:rPr>
          <w:sz w:val="20"/>
        </w:rPr>
        <w:t>imediata).</w:t>
      </w:r>
    </w:p>
    <w:p>
      <w:pPr>
        <w:pStyle w:val="ListParagraph"/>
        <w:numPr>
          <w:ilvl w:val="0"/>
          <w:numId w:val="1"/>
        </w:numPr>
        <w:tabs>
          <w:tab w:pos="248" w:val="left" w:leader="none"/>
        </w:tabs>
        <w:spacing w:line="240" w:lineRule="auto" w:before="1" w:after="0"/>
        <w:ind w:left="139" w:right="129" w:firstLine="0"/>
        <w:jc w:val="left"/>
        <w:rPr>
          <w:sz w:val="20"/>
        </w:rPr>
      </w:pPr>
      <w:r>
        <w:rPr>
          <w:b/>
          <w:color w:val="FF9900"/>
          <w:sz w:val="20"/>
        </w:rPr>
        <w:t>Baixo</w:t>
      </w:r>
      <w:r>
        <w:rPr>
          <w:b/>
          <w:color w:val="FF9900"/>
          <w:spacing w:val="-9"/>
          <w:sz w:val="20"/>
        </w:rPr>
        <w:t> </w:t>
      </w:r>
      <w:r>
        <w:rPr>
          <w:b/>
          <w:color w:val="FF9900"/>
          <w:sz w:val="20"/>
        </w:rPr>
        <w:t>risco</w:t>
      </w:r>
      <w:r>
        <w:rPr>
          <w:b/>
          <w:color w:val="FF9900"/>
          <w:spacing w:val="-9"/>
          <w:sz w:val="20"/>
        </w:rPr>
        <w:t> </w:t>
      </w:r>
      <w:r>
        <w:rPr>
          <w:sz w:val="20"/>
        </w:rPr>
        <w:t>(classificações</w:t>
      </w:r>
      <w:r>
        <w:rPr>
          <w:spacing w:val="-11"/>
          <w:sz w:val="20"/>
        </w:rPr>
        <w:t> </w:t>
      </w:r>
      <w:r>
        <w:rPr>
          <w:sz w:val="20"/>
        </w:rPr>
        <w:t>1B,</w:t>
      </w:r>
      <w:r>
        <w:rPr>
          <w:spacing w:val="-10"/>
          <w:sz w:val="20"/>
        </w:rPr>
        <w:t> </w:t>
      </w:r>
      <w:r>
        <w:rPr>
          <w:sz w:val="20"/>
        </w:rPr>
        <w:t>1C,</w:t>
      </w:r>
      <w:r>
        <w:rPr>
          <w:spacing w:val="-10"/>
          <w:sz w:val="20"/>
        </w:rPr>
        <w:t> </w:t>
      </w:r>
      <w:r>
        <w:rPr>
          <w:sz w:val="20"/>
        </w:rPr>
        <w:t>2C,</w:t>
      </w:r>
      <w:r>
        <w:rPr>
          <w:spacing w:val="-10"/>
          <w:sz w:val="20"/>
        </w:rPr>
        <w:t> </w:t>
      </w:r>
      <w:r>
        <w:rPr>
          <w:sz w:val="20"/>
        </w:rPr>
        <w:t>2D,</w:t>
      </w:r>
      <w:r>
        <w:rPr>
          <w:spacing w:val="-12"/>
          <w:sz w:val="20"/>
        </w:rPr>
        <w:t> </w:t>
      </w:r>
      <w:r>
        <w:rPr>
          <w:sz w:val="20"/>
        </w:rPr>
        <w:t>3D,</w:t>
      </w:r>
      <w:r>
        <w:rPr>
          <w:spacing w:val="-10"/>
          <w:sz w:val="20"/>
        </w:rPr>
        <w:t> </w:t>
      </w:r>
      <w:r>
        <w:rPr>
          <w:sz w:val="20"/>
        </w:rPr>
        <w:t>3E,</w:t>
      </w:r>
      <w:r>
        <w:rPr>
          <w:spacing w:val="-10"/>
          <w:sz w:val="20"/>
        </w:rPr>
        <w:t> </w:t>
      </w:r>
      <w:r>
        <w:rPr>
          <w:sz w:val="20"/>
        </w:rPr>
        <w:t>4E):</w:t>
      </w:r>
      <w:r>
        <w:rPr>
          <w:spacing w:val="-10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operação</w:t>
      </w:r>
      <w:r>
        <w:rPr>
          <w:spacing w:val="-11"/>
          <w:sz w:val="20"/>
        </w:rPr>
        <w:t> </w:t>
      </w:r>
      <w:r>
        <w:rPr>
          <w:sz w:val="20"/>
        </w:rPr>
        <w:t>pode</w:t>
      </w:r>
      <w:r>
        <w:rPr>
          <w:spacing w:val="-12"/>
          <w:sz w:val="20"/>
        </w:rPr>
        <w:t> </w:t>
      </w:r>
      <w:r>
        <w:rPr>
          <w:sz w:val="20"/>
        </w:rPr>
        <w:t>ocorrer</w:t>
      </w:r>
      <w:r>
        <w:rPr>
          <w:spacing w:val="-9"/>
          <w:sz w:val="20"/>
        </w:rPr>
        <w:t> </w:t>
      </w:r>
      <w:r>
        <w:rPr>
          <w:sz w:val="20"/>
        </w:rPr>
        <w:t>e</w:t>
      </w:r>
      <w:r>
        <w:rPr>
          <w:spacing w:val="-12"/>
          <w:sz w:val="20"/>
        </w:rPr>
        <w:t> </w:t>
      </w:r>
      <w:r>
        <w:rPr>
          <w:sz w:val="20"/>
        </w:rPr>
        <w:t>controles</w:t>
      </w:r>
      <w:r>
        <w:rPr>
          <w:spacing w:val="-11"/>
          <w:sz w:val="20"/>
        </w:rPr>
        <w:t> </w:t>
      </w:r>
      <w:r>
        <w:rPr>
          <w:sz w:val="20"/>
        </w:rPr>
        <w:t>preventivos</w:t>
      </w:r>
      <w:r>
        <w:rPr>
          <w:spacing w:val="-11"/>
          <w:sz w:val="20"/>
        </w:rPr>
        <w:t> </w:t>
      </w:r>
      <w:r>
        <w:rPr>
          <w:sz w:val="20"/>
        </w:rPr>
        <w:t>para</w:t>
      </w:r>
      <w:r>
        <w:rPr>
          <w:spacing w:val="-7"/>
          <w:sz w:val="20"/>
        </w:rPr>
        <w:t> </w:t>
      </w:r>
      <w:r>
        <w:rPr>
          <w:sz w:val="20"/>
        </w:rPr>
        <w:t>mitigação de risco e aprovação por nível hierárquico imediatamente superior (chefia imediata) são</w:t>
      </w:r>
      <w:r>
        <w:rPr>
          <w:spacing w:val="-5"/>
          <w:sz w:val="20"/>
        </w:rPr>
        <w:t> </w:t>
      </w:r>
      <w:r>
        <w:rPr>
          <w:sz w:val="20"/>
        </w:rPr>
        <w:t>opcionais.</w:t>
      </w:r>
    </w:p>
    <w:p>
      <w:pPr>
        <w:pStyle w:val="ListParagraph"/>
        <w:numPr>
          <w:ilvl w:val="0"/>
          <w:numId w:val="1"/>
        </w:numPr>
        <w:tabs>
          <w:tab w:pos="255" w:val="left" w:leader="none"/>
        </w:tabs>
        <w:spacing w:line="240" w:lineRule="auto" w:before="0" w:after="0"/>
        <w:ind w:left="139" w:right="132" w:firstLine="0"/>
        <w:jc w:val="left"/>
        <w:rPr>
          <w:sz w:val="20"/>
        </w:rPr>
      </w:pPr>
      <w:r>
        <w:rPr>
          <w:b/>
          <w:color w:val="00AF50"/>
          <w:sz w:val="20"/>
        </w:rPr>
        <w:t>Risco muito</w:t>
      </w:r>
      <w:r>
        <w:rPr>
          <w:b/>
          <w:color w:val="00AF50"/>
          <w:spacing w:val="-3"/>
          <w:sz w:val="20"/>
        </w:rPr>
        <w:t> </w:t>
      </w:r>
      <w:r>
        <w:rPr>
          <w:b/>
          <w:color w:val="00AF50"/>
          <w:sz w:val="20"/>
        </w:rPr>
        <w:t>baixo</w:t>
      </w:r>
      <w:r>
        <w:rPr>
          <w:b/>
          <w:color w:val="00AF50"/>
          <w:spacing w:val="-2"/>
          <w:sz w:val="20"/>
        </w:rPr>
        <w:t> </w:t>
      </w:r>
      <w:r>
        <w:rPr>
          <w:sz w:val="20"/>
        </w:rPr>
        <w:t>(classificações</w:t>
      </w:r>
      <w:r>
        <w:rPr>
          <w:spacing w:val="-5"/>
          <w:sz w:val="20"/>
        </w:rPr>
        <w:t> </w:t>
      </w:r>
      <w:r>
        <w:rPr>
          <w:sz w:val="20"/>
        </w:rPr>
        <w:t>1D,</w:t>
      </w:r>
      <w:r>
        <w:rPr>
          <w:spacing w:val="-4"/>
          <w:sz w:val="20"/>
        </w:rPr>
        <w:t> </w:t>
      </w:r>
      <w:r>
        <w:rPr>
          <w:sz w:val="20"/>
        </w:rPr>
        <w:t>1E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2E):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operação</w:t>
      </w:r>
      <w:r>
        <w:rPr>
          <w:spacing w:val="-3"/>
          <w:sz w:val="20"/>
        </w:rPr>
        <w:t> </w:t>
      </w:r>
      <w:r>
        <w:rPr>
          <w:sz w:val="20"/>
        </w:rPr>
        <w:t>é</w:t>
      </w:r>
      <w:r>
        <w:rPr>
          <w:spacing w:val="-4"/>
          <w:sz w:val="20"/>
        </w:rPr>
        <w:t> </w:t>
      </w:r>
      <w:r>
        <w:rPr>
          <w:sz w:val="20"/>
        </w:rPr>
        <w:t>aceitável</w:t>
      </w:r>
      <w:r>
        <w:rPr>
          <w:spacing w:val="-4"/>
          <w:sz w:val="20"/>
        </w:rPr>
        <w:t> </w:t>
      </w:r>
      <w:r>
        <w:rPr>
          <w:sz w:val="20"/>
        </w:rPr>
        <w:t>como</w:t>
      </w:r>
      <w:r>
        <w:rPr>
          <w:spacing w:val="-3"/>
          <w:sz w:val="20"/>
        </w:rPr>
        <w:t> </w:t>
      </w:r>
      <w:r>
        <w:rPr>
          <w:sz w:val="20"/>
        </w:rPr>
        <w:t>concebida,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nenhum</w:t>
      </w:r>
      <w:r>
        <w:rPr>
          <w:spacing w:val="-5"/>
          <w:sz w:val="20"/>
        </w:rPr>
        <w:t> </w:t>
      </w:r>
      <w:r>
        <w:rPr>
          <w:sz w:val="20"/>
        </w:rPr>
        <w:t>controle</w:t>
      </w:r>
      <w:r>
        <w:rPr>
          <w:spacing w:val="-4"/>
          <w:sz w:val="20"/>
        </w:rPr>
        <w:t> </w:t>
      </w:r>
      <w:r>
        <w:rPr>
          <w:sz w:val="20"/>
        </w:rPr>
        <w:t>preventivo para mitigação de risco e aprovação é requerida para que ela</w:t>
      </w:r>
      <w:r>
        <w:rPr>
          <w:spacing w:val="-3"/>
          <w:sz w:val="20"/>
        </w:rPr>
        <w:t> </w:t>
      </w:r>
      <w:r>
        <w:rPr>
          <w:sz w:val="20"/>
        </w:rPr>
        <w:t>ocorra.</w:t>
      </w:r>
    </w:p>
    <w:p>
      <w:pPr>
        <w:pStyle w:val="BodyText"/>
        <w:spacing w:before="3"/>
        <w:rPr>
          <w:sz w:val="25"/>
        </w:rPr>
      </w:pPr>
    </w:p>
    <w:p>
      <w:pPr>
        <w:pStyle w:val="Heading1"/>
        <w:ind w:left="107"/>
        <w:jc w:val="both"/>
        <w:rPr>
          <w:u w:val="none"/>
        </w:rPr>
      </w:pPr>
      <w:r>
        <w:rPr>
          <w:u w:val="thick"/>
        </w:rPr>
        <w:t>Disposições finais:</w:t>
      </w:r>
    </w:p>
    <w:p>
      <w:pPr>
        <w:pStyle w:val="BodyText"/>
        <w:spacing w:before="9"/>
        <w:rPr>
          <w:b/>
          <w:sz w:val="15"/>
        </w:rPr>
      </w:pPr>
    </w:p>
    <w:p>
      <w:pPr>
        <w:spacing w:before="90"/>
        <w:ind w:left="107" w:right="117" w:firstLine="0"/>
        <w:jc w:val="both"/>
        <w:rPr>
          <w:sz w:val="24"/>
        </w:rPr>
      </w:pPr>
      <w:r>
        <w:rPr>
          <w:sz w:val="24"/>
        </w:rPr>
        <w:t>Declaro para os devidos fins que todos os pilotos remotos conhecem e cumprem a legislação e regulamentação</w:t>
      </w:r>
      <w:r>
        <w:rPr>
          <w:spacing w:val="-6"/>
          <w:sz w:val="24"/>
        </w:rPr>
        <w:t> </w:t>
      </w:r>
      <w:r>
        <w:rPr>
          <w:sz w:val="24"/>
        </w:rPr>
        <w:t>aplicáveis,</w:t>
      </w:r>
      <w:r>
        <w:rPr>
          <w:spacing w:val="-7"/>
          <w:sz w:val="24"/>
        </w:rPr>
        <w:t> </w:t>
      </w:r>
      <w:r>
        <w:rPr>
          <w:sz w:val="24"/>
        </w:rPr>
        <w:t>em</w:t>
      </w:r>
      <w:r>
        <w:rPr>
          <w:spacing w:val="-7"/>
          <w:sz w:val="24"/>
        </w:rPr>
        <w:t> </w:t>
      </w:r>
      <w:r>
        <w:rPr>
          <w:sz w:val="24"/>
        </w:rPr>
        <w:t>especial</w:t>
      </w:r>
      <w:r>
        <w:rPr>
          <w:spacing w:val="-7"/>
          <w:sz w:val="24"/>
        </w:rPr>
        <w:t> </w:t>
      </w:r>
      <w:r>
        <w:rPr>
          <w:sz w:val="24"/>
        </w:rPr>
        <w:t>as</w:t>
      </w:r>
      <w:r>
        <w:rPr>
          <w:spacing w:val="-5"/>
          <w:sz w:val="24"/>
        </w:rPr>
        <w:t> </w:t>
      </w:r>
      <w:r>
        <w:rPr>
          <w:sz w:val="24"/>
        </w:rPr>
        <w:t>acima</w:t>
      </w:r>
      <w:r>
        <w:rPr>
          <w:spacing w:val="-8"/>
          <w:sz w:val="24"/>
        </w:rPr>
        <w:t> </w:t>
      </w:r>
      <w:r>
        <w:rPr>
          <w:sz w:val="24"/>
        </w:rPr>
        <w:t>listadas,</w:t>
      </w:r>
      <w:r>
        <w:rPr>
          <w:spacing w:val="-7"/>
          <w:sz w:val="24"/>
        </w:rPr>
        <w:t> </w:t>
      </w:r>
      <w:r>
        <w:rPr>
          <w:sz w:val="24"/>
        </w:rPr>
        <w:t>assim</w:t>
      </w:r>
      <w:r>
        <w:rPr>
          <w:spacing w:val="-7"/>
          <w:sz w:val="24"/>
        </w:rPr>
        <w:t> </w:t>
      </w:r>
      <w:r>
        <w:rPr>
          <w:sz w:val="24"/>
        </w:rPr>
        <w:t>como</w:t>
      </w:r>
      <w:r>
        <w:rPr>
          <w:spacing w:val="-6"/>
          <w:sz w:val="24"/>
        </w:rPr>
        <w:t> </w:t>
      </w:r>
      <w:r>
        <w:rPr>
          <w:sz w:val="24"/>
        </w:rPr>
        <w:t>conhecem</w:t>
      </w:r>
      <w:r>
        <w:rPr>
          <w:spacing w:val="-7"/>
          <w:sz w:val="24"/>
        </w:rPr>
        <w:t> </w:t>
      </w:r>
      <w:r>
        <w:rPr>
          <w:sz w:val="24"/>
        </w:rPr>
        <w:t>as</w:t>
      </w:r>
      <w:r>
        <w:rPr>
          <w:spacing w:val="-7"/>
          <w:sz w:val="24"/>
        </w:rPr>
        <w:t> </w:t>
      </w:r>
      <w:r>
        <w:rPr>
          <w:sz w:val="24"/>
        </w:rPr>
        <w:t>consequências</w:t>
      </w:r>
      <w:r>
        <w:rPr>
          <w:spacing w:val="-7"/>
          <w:sz w:val="24"/>
        </w:rPr>
        <w:t> </w:t>
      </w:r>
      <w:r>
        <w:rPr>
          <w:sz w:val="24"/>
        </w:rPr>
        <w:t>do descumprimento.</w:t>
      </w:r>
    </w:p>
    <w:p>
      <w:pPr>
        <w:pStyle w:val="BodyText"/>
        <w:rPr>
          <w:sz w:val="24"/>
        </w:rPr>
      </w:pPr>
    </w:p>
    <w:p>
      <w:pPr>
        <w:spacing w:before="0"/>
        <w:ind w:left="107" w:right="6723" w:firstLine="0"/>
        <w:jc w:val="left"/>
        <w:rPr>
          <w:sz w:val="24"/>
        </w:rPr>
      </w:pPr>
      <w:r>
        <w:rPr>
          <w:sz w:val="24"/>
        </w:rPr>
        <w:t>Responsável pelas informações: Data e assinatura:</w:t>
      </w:r>
    </w:p>
    <w:p>
      <w:pPr>
        <w:pStyle w:val="BodyText"/>
        <w:spacing w:before="2"/>
        <w:rPr>
          <w:sz w:val="16"/>
        </w:rPr>
      </w:pPr>
    </w:p>
    <w:p>
      <w:pPr>
        <w:spacing w:before="90"/>
        <w:ind w:left="107" w:right="0" w:firstLine="0"/>
        <w:jc w:val="left"/>
        <w:rPr>
          <w:sz w:val="24"/>
        </w:rPr>
      </w:pPr>
      <w:r>
        <w:rPr>
          <w:sz w:val="24"/>
        </w:rPr>
        <w:t>Esta avaliação de risco operacional é válida até </w:t>
      </w:r>
      <w:r>
        <w:rPr>
          <w:sz w:val="24"/>
          <w:shd w:fill="FFFF00" w:color="auto" w:val="clear"/>
        </w:rPr>
        <w:t>[mês/ano + 12 meses]</w:t>
      </w:r>
      <w:r>
        <w:rPr>
          <w:sz w:val="24"/>
          <w:shd w:fill="FFFFFF" w:color="auto" w:val="clear"/>
        </w:rPr>
        <w:t>.</w:t>
      </w:r>
    </w:p>
    <w:sectPr>
      <w:pgSz w:w="11910" w:h="16840"/>
      <w:pgMar w:header="983" w:footer="897" w:top="1420" w:bottom="1080" w:left="114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Narrow">
    <w:altName w:val="Arial Narrow"/>
    <w:charset w:val="0"/>
    <w:family w:val="swiss"/>
    <w:pitch w:val="variable"/>
  </w:font>
  <w:font w:name="Minion Pro">
    <w:altName w:val="Minion Pro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rect style="position:absolute;margin-left:211.009995pt;margin-top:787.055969pt;width:.96pt;height:.96pt;mso-position-horizontal-relative:page;mso-position-vertical-relative:page;z-index:-11032" filled="true" fillcolor="#000000" stroked="false">
          <v:fill type="solid"/>
          <w10:wrap type="none"/>
        </v:rect>
      </w:pict>
    </w:r>
    <w:r>
      <w:rPr/>
      <w:pict>
        <v:rect style="position:absolute;margin-left:406.269989pt;margin-top:787.055969pt;width:.96pt;height:.96pt;mso-position-horizontal-relative:page;mso-position-vertical-relative:page;z-index:-11008" filled="true" fillcolor="#000000" stroked="false">
          <v:fill type="solid"/>
          <w10:wrap type="none"/>
        </v:rect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rect style="position:absolute;margin-left:288.170013pt;margin-top:58.439983pt;width:.72pt;height:.72pt;mso-position-horizontal-relative:page;mso-position-vertical-relative:page;z-index:-11056" filled="true" fillcolor="#000000" stroked="false">
          <v:fill type="solid"/>
          <w10:wrap type="non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108" w:hanging="116"/>
      </w:pPr>
      <w:rPr>
        <w:rFonts w:hint="default" w:ascii="Times New Roman" w:hAnsi="Times New Roman" w:eastAsia="Times New Roman" w:cs="Times New Roman"/>
        <w:w w:val="99"/>
        <w:sz w:val="20"/>
        <w:szCs w:val="20"/>
        <w:lang w:val="pt-br" w:eastAsia="pt-br" w:bidi="pt-br"/>
      </w:rPr>
    </w:lvl>
    <w:lvl w:ilvl="1">
      <w:start w:val="0"/>
      <w:numFmt w:val="bullet"/>
      <w:lvlText w:val="•"/>
      <w:lvlJc w:val="left"/>
      <w:pPr>
        <w:ind w:left="1082" w:hanging="116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2065" w:hanging="116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3047" w:hanging="116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4030" w:hanging="116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013" w:hanging="116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5995" w:hanging="116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6978" w:hanging="116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7961" w:hanging="116"/>
      </w:pPr>
      <w:rPr>
        <w:rFonts w:hint="default"/>
        <w:lang w:val="pt-br" w:eastAsia="pt-br" w:bidi="pt-b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br" w:eastAsia="pt-br" w:bidi="pt-br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pt-br" w:eastAsia="pt-br" w:bidi="pt-br"/>
    </w:rPr>
  </w:style>
  <w:style w:styleId="Heading1" w:type="paragraph">
    <w:name w:val="Heading 1"/>
    <w:basedOn w:val="Normal"/>
    <w:uiPriority w:val="1"/>
    <w:qFormat/>
    <w:pPr>
      <w:ind w:left="103"/>
      <w:outlineLvl w:val="1"/>
    </w:pPr>
    <w:rPr>
      <w:rFonts w:ascii="Times New Roman" w:hAnsi="Times New Roman" w:eastAsia="Times New Roman" w:cs="Times New Roman"/>
      <w:b/>
      <w:bCs/>
      <w:sz w:val="24"/>
      <w:szCs w:val="24"/>
      <w:u w:val="single" w:color="000000"/>
      <w:lang w:val="pt-br" w:eastAsia="pt-br" w:bidi="pt-br"/>
    </w:rPr>
  </w:style>
  <w:style w:styleId="Heading2" w:type="paragraph">
    <w:name w:val="Heading 2"/>
    <w:basedOn w:val="Normal"/>
    <w:uiPriority w:val="1"/>
    <w:qFormat/>
    <w:pPr>
      <w:ind w:left="107"/>
      <w:jc w:val="both"/>
      <w:outlineLvl w:val="2"/>
    </w:pPr>
    <w:rPr>
      <w:rFonts w:ascii="Times New Roman" w:hAnsi="Times New Roman" w:eastAsia="Times New Roman" w:cs="Times New Roman"/>
      <w:b/>
      <w:bCs/>
      <w:sz w:val="20"/>
      <w:szCs w:val="20"/>
      <w:lang w:val="pt-br" w:eastAsia="pt-br" w:bidi="pt-br"/>
    </w:rPr>
  </w:style>
  <w:style w:styleId="ListParagraph" w:type="paragraph">
    <w:name w:val="List Paragraph"/>
    <w:basedOn w:val="Normal"/>
    <w:uiPriority w:val="1"/>
    <w:qFormat/>
    <w:pPr>
      <w:ind w:left="108"/>
      <w:jc w:val="both"/>
    </w:pPr>
    <w:rPr>
      <w:rFonts w:ascii="Times New Roman" w:hAnsi="Times New Roman" w:eastAsia="Times New Roman" w:cs="Times New Roman"/>
      <w:lang w:val="pt-br" w:eastAsia="pt-br" w:bidi="pt-br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pt-br" w:eastAsia="pt-br" w:bidi="pt-br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joao.colonese</dc:creator>
  <dcterms:created xsi:type="dcterms:W3CDTF">2018-04-16T15:34:11Z</dcterms:created>
  <dcterms:modified xsi:type="dcterms:W3CDTF">2018-04-16T15:34:11Z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2018-04-16T00:00:00Z</vt:filetime>
  </property>
</Properties>
</file>